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a42d86b3e44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挑戰2012──未來高中生基本能力與課程改革
</w:t>
          <w:br/>
          <w:t>
</w:t>
          <w:br/>
          <w:t>人才培育是「未來導向」的 (future-oriented)，要解決當前的教育問題則需有前瞻的未來觀及提早規劃。
</w:t>
          <w:br/>
          <w:t>
</w:t>
          <w:br/>
          <w:t>我國教育改革在推出「中小學九年一貫」課程改革後，為因應「知識經濟」社會的來臨，提升國家競爭力，教育部今年已公佈「普通高中課程暫行綱要」並決定2009年公佈全新高級中學課程綱要，並針對2012年高級中學畢業生基本能力積極進行理論及基礎研究，教育學院院長陳伯璋教授，日前已接獲教育部委託擔任「我國普通高中課程綱要發展之基礎研究」專案計劃總主持人，此將提供未來我國高中課程修訂的主要參考。同時陳院長已同意擔任未來「中小學課程修訂起草工作小組」召集人，這對我國中小學課程發展將有深遠影響。</w:t>
          <w:br/>
        </w:r>
      </w:r>
    </w:p>
  </w:body>
</w:document>
</file>