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95201f9dee6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571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未來五大商業模式
</w:t>
          <w:br/>
          <w:t>
</w:t>
          <w:br/>
          <w:t>　根據經濟趨勢研究指出，未來台灣廠商可能會發展出以下的五大商業模式，其主特徵、核心競爭力及代表廠商或產業如下：
</w:t>
          <w:br/>
          <w:t>　第一型：有品牌之世界級公司，具有品牌、技術、管理、資源、規模經濟的競爭力，以趨勢（Trend Micro）、宏碁（Acer）、長榮（Evergreen）為代表。
</w:t>
          <w:br/>
          <w:t>　第二型：大型且多角化之OEM或ODM公司，具有設計、製造、全球運籌管理、規模或範疇經濟的競爭力，以台積電、鴻海、華碩、廣達為代表。
</w:t>
          <w:br/>
          <w:t>　第三型：小型利基之OEM或ODM公司，具有專注、聚焦、成本、品質的競爭力，以高爾夫球桿（復盛）、球鞋（寶成）、水龍頭（成霖）、窗簾（億豐）為代表。
</w:t>
          <w:br/>
          <w:t>　第四型：內需市場為主之公司，具有具地方文化色彩、避開外商之競爭，以觀光、房地產、電力、民俗廟會相關產業為代表。
</w:t>
          <w:br/>
          <w:t>　第五型：利基創新型公司，具有利基、品牌、外包、台商主導製造、品質世界級、價格一般化的競爭力，以聯發科、友訊、好樂迪、生活工廠、巨大、IC通路商、聚陽、台南企業等為代表。
</w:t>
          <w:br/>
          <w:t>
</w:t>
          <w:br/>
          <w:t>　但仍需觀察的重點有二：
</w:t>
          <w:br/>
          <w:t>　1.作對或轉型至對的商業模式是企業經營成敗的關鍵。
</w:t>
          <w:br/>
          <w:t>　2.第五型將成為台灣未來十年最重要的商業模式。
</w:t>
          <w:br/>
          <w:t>　若想瞭解更詳細的訊息可與產經系副教授蔡進丁（mersi@mail.tku.edu.tw）連繫。</w:t>
          <w:br/>
        </w:r>
      </w:r>
    </w:p>
  </w:body>
</w:document>
</file>