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c680fc4b24a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水電分表控管　績效看得見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【記者鍾張涵報導】根據環境保護暨安全衛生中心統計，本校本年度各大樓用電用水量，與去年同月份比較，用電量已有較為減少的跡象，用水量除三月小幅增加外，其餘皆達目標。
</w:t>
          <w:br/>
          <w:t>
</w:t>
          <w:br/>
          <w:t>　本年度的環境績效指標，經環安中心於上學期擬定為：用水減量1％、用電量及生活垃圾量以不增加為原則，並加強資源垃圾分類管理。本校ISO14001推動委員會於上週二召開會議，環安中心提出具體統計資料，進行控管。會中針對如何達成該指標，通過具體方案，將提預算委員會審核後實施。
</w:t>
          <w:br/>
          <w:t>
</w:t>
          <w:br/>
          <w:t>　在用電減量方面，數據顯示，於各大樓設置獨立電表，並分區統計用電量後，不但能維持不增加，且比去年同期更為節省。不過，環安中心表示，接下來即將進入夏季水電消耗量的高峰期，不但將因為空調全開，導致用電度數攀升，且隨著未來外語大樓與體育館的興建，用電量陡升也難以避免。環安中心呼籲全校各單位謹守原則：「氣溫攝氏26度以上才開空調。」
</w:t>
          <w:br/>
          <w:t>
</w:t>
          <w:br/>
          <w:t>　在用水減量指標中，學校將於淡水校園各大樓加裝獨立水表，掌握並約束各大樓用水量。此外，亦提案將圖書館與教學大樓廁所水龍頭，改裝為感應式水龍頭。環安中心同時將建設工學大樓與化學館實驗循環水再利用工程，以達到提升能源的使用效率。</w:t>
          <w:br/>
        </w:r>
      </w:r>
    </w:p>
  </w:body>
</w:document>
</file>