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e6237322f544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NEW COURSE OF GLOBAL TECHNOLOGICAL REVOLUTION NEXT SEMESTER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new course “The Impact of Global Technological Revolution in the 21th Century” will be added into “field of natural science (including life science)” in the core courses. This course will be arranged along with “Three Scientific-technological Revolutions and Spatio-temporal Universe.” Division of Instructional Technology, responsible for making teaching materials for the new course, indicates that this new course is extended from “Three Great Revolutions,” emphasizing the impact of the fast technological development in the 21th century; its contents will be divided into four parts: “the impact of global environment and energy,” “the impact of bio-technology,” “the impact of information technology,” and “the impact of micro-system and nano-technology.” While understanding the process of technological development, students are expected to understand its impact on human civilization.
</w:t>
          <w:br/>
          <w:t>
</w:t>
          <w:br/>
          <w:t>The two courses will be conducted by two teachers, two hours a week.  “Three Scientific-technological Revolutions and Spatio-temporal Universe” is taught in the first 8 weeks, its final exam held in the week of mid-term exam. The Impact of Global Technological Revolution in the 21th Century starts in the ninth week. (~ Han-yu Huang )</w:t>
          <w:br/>
        </w:r>
      </w:r>
    </w:p>
  </w:body>
</w:document>
</file>