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7c4b971ad47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未來化》》》未來就在眼前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未來研究上經常被詢問：未來不存在，如何被研究？
</w:t>
          <w:br/>
          <w:t>
</w:t>
          <w:br/>
          <w:t>雖然「未來」在科學上不存在，但是未來卻是真實存在的：「未來」是以「願景」、「希望」、或是「意象」的方式存在著。美國人類學家馬格麗特（Mead Margaret）曾經指出，未來就在眼前，從孩童的身上可以看到未來。孩童現在的學習就在塑造「未來的事實」。因為「未來」就是由現在的孩童所主導。
</w:t>
          <w:br/>
          <w:t>
</w:t>
          <w:br/>
          <w:t>從這樣的觀點，可以體現出，今天如何教育孩童，就是在塑造未來我們所要經驗的世界。同樣的，對於個人、組織、機構而言，當勾勒出渴望的未來，可能是一種意象、希望或願景，然後因著釐定策略及設定目標並且執行與實踐，若此，每一個未來正在眼前呈現著。（陳瑞貴）</w:t>
          <w:br/>
        </w:r>
      </w:r>
    </w:p>
  </w:body>
</w:document>
</file>