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1ebbb8b864e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臺灣經濟未來（國貿系主任林志鴻）
</w:t>
          <w:br/>
          <w:t>
</w:t>
          <w:br/>
          <w:t>　扁政府的執政團隊在驗票結果尚未明朗情況下，此次總統大選可稱連任，因而會使扁團隊更審慎運用「意識型態」來達到其訴求。對兩岸經濟而言，將不會有明顯的改善，甚至因兩岸經濟關係的惡化而無法順利進行相關經濟活動，而對臺灣經濟發展帶來負面的衝擊。臺灣目前正嘗試在國際社會尋找一個獨立的空間，這種嘗試卻面對國際巨大壓力，因而促使臺灣因積極尋求獨立空間，而被孤立於國際社會的兩難狀態。吾人認為未來臺灣經濟可能發展方向為：
</w:t>
          <w:br/>
          <w:t>
</w:t>
          <w:br/>
          <w:t>　1.兩岸經濟鬆綁幅度雖會略加放鬆，對臺灣經濟正面發展並沒有明顯助益。
</w:t>
          <w:br/>
          <w:t>
</w:t>
          <w:br/>
          <w:t>　2.臺灣經濟發展將逐漸呈現轉向的趨勢：由對國際經濟的依賴轉向對國內經濟的訴求。
</w:t>
          <w:br/>
          <w:t>
</w:t>
          <w:br/>
          <w:t>　3.一經濟體系對「意識型態」的訴求，其機會成本，是其在國際市場經濟利得的減少。
</w:t>
          <w:br/>
          <w:t>
</w:t>
          <w:br/>
          <w:t>　4.悲觀的臺灣經濟未來，會使臺灣經濟在亞洲地位逐漸式微。
</w:t>
          <w:br/>
          <w:t>
</w:t>
          <w:br/>
          <w:t>　吾人建議方針如下：
</w:t>
          <w:br/>
          <w:t>
</w:t>
          <w:br/>
          <w:t>　1.經濟發展的追求應超越「意識型態」的訴求。
</w:t>
          <w:br/>
          <w:t>
</w:t>
          <w:br/>
          <w:t>　2.兩岸經濟的互動應超越兩岸政治的協商。
</w:t>
          <w:br/>
          <w:t>
</w:t>
          <w:br/>
          <w:t>　3.國際經濟的深根應超越國內經濟的發展。</w:t>
          <w:br/>
        </w:r>
      </w:r>
    </w:p>
  </w:body>
</w:document>
</file>