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7187cc689074d4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625 期</w:t>
        </w:r>
      </w:r>
    </w:p>
    <w:p>
      <w:pPr>
        <w:jc w:val="center"/>
      </w:pPr>
      <w:r>
        <w:r>
          <w:rPr>
            <w:rFonts w:ascii="Segoe UI" w:hAnsi="Segoe UI" w:eastAsia="Segoe UI"/>
            <w:sz w:val="32"/>
            <w:color w:val="000000"/>
            <w:b/>
          </w:rPr>
          <w:t>INTERNATIONAL CONFERENCE ON EUROPEAN CONSTITUTION AND EUROPEAN INTEGRATION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Graduate Institute of European Studies of TKU and British Trade and Cultural Office, Taipei, co-held “International Conference on European Constitution and European Integration” on Nov. 10 and 11, inviting representatives and professors from seven countries of European Unions. This was the largest international conference in Taiwan discussing the issue of European integration. The topics of the conference focus on the development of politics, economics, and international safety after establishing the European Union. The foreign guests include Mr. Derek Marsh, representative of British Trade and Cultural Office, Taipei; Mr. Charles Garrett, vice-representative of British Trade and Cultural Office, Taipei; Mr. Brian McDonald, head of European Economic and Trade Office, Taiwan; Dr. Alfred Ebenbauer, ex-President of the University of Vienna; Dr. Erno Zalai, ex-President of Budapest University of Economics, etc. There were other scholars from Germany, Poland, Republic of Czech, Romania, and Latvia. (~ Shu-chun Yen )</w:t>
          <w:br/>
        </w:r>
      </w:r>
    </w:p>
  </w:body>
</w:document>
</file>