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44cfe7e9748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55募款案 17系所達成率百分百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台北校園報導】為配合55週年校慶所推動的「55募款專案」，各教學行政單位皆分配有募款目標，教學單位亦舉辦邀請校友返校活動，經校友服務暨資源發展處統計，去年校友返校人數達到2285人，共募得款項新台幣2609萬餘元，其中會計系募得200萬餘元、財金系137萬、資訊中心91萬貢獻最多。
</w:t>
          <w:br/>
          <w:t>
</w:t>
          <w:br/>
          <w:t>會計系友們相當團結，且多在業界有不錯表現，已組成校友基金會，全力支援募款活動；財金系主任聶建中對募款工作相當積極，多邀請財金金融界人士蒞校演講，期使他們對本校更加認識，配合時機募款如獎學金，才能更有績效。
</w:t>
          <w:br/>
          <w:t>
</w:t>
          <w:br/>
          <w:t>對於募款活動，各系所依畢業人數、行政單位依工作人數訂定目標，各單位也積極配合55募款專案，除會計系、財金系的優秀表現外，英文系也有97萬元、企管系84萬、電機系74萬、化學系71萬、大傳系53萬元的好成績。東南亞所原定目標為16000元，最後募得28萬餘元，為原定目標的18倍，表現積極。
</w:t>
          <w:br/>
          <w:t>
</w:t>
          <w:br/>
          <w:t>教學單位中17個系所完成100﹪達成率，包括文學院大傳系、資傳系，國際學院戰略所、日研所、俄研所、大陸所、東南亞所，教育學院教政所，技術學院管理系、國企系、建技系、營建系、應日系及成人教育部。
</w:t>
          <w:br/>
          <w:t>
</w:t>
          <w:br/>
          <w:t>行政單位中學務處、總務處、校友服務處、文錙藝術中心、研究發展處及資訊中心達成募款目標，其中資訊中心91萬、學務處84萬、總務處70萬，也頗具成效。
</w:t>
          <w:br/>
          <w:t>
</w:t>
          <w:br/>
          <w:t>各系所去年也訂定校友返校人數，是依各院系所畢業校友人數比例計算，其中國際研究學院、教育學院及技術學院積極舉辦研討會、校友會活動，獲得校友支持，紛紛返校聚會、遊玩、聚餐，達成校友返校率目標。今年各系所亦將持續邀請校友返回母校，分享進步成果。</w:t>
          <w:br/>
        </w:r>
      </w:r>
    </w:p>
  </w:body>
</w:document>
</file>