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a8d9a85b04b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國科會研究計畫 本校申請率達67%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本校研究發展處統計，國科會95年度專題研究計畫案，本校共提出429件申請，全校專任教師總數637人，總申請率為67%（請見右表）。研發處表示，申請結果將在6至8月由國科會陸續公佈。
</w:t>
          <w:br/>
          <w:t>
</w:t>
          <w:br/>
          <w:t>其中工學院133名助理教授以上教師提出138件，申請率達104%，比例最高，許多教師提出2件或甚至3件申請案，其次是理學院達90%，管理學院與教育學院均達84%，居第三。
</w:t>
          <w:br/>
          <w:t> 
</w:t>
          <w:br/>
          <w:t>今年各學院多積極提出申請案，16系所申請率高達100％或以上，顯示教師的研究活力，生命科學研究所只有4位教師，共提出10件，申請率250％為最高；機械與機電工程系提出23件，申請率153％；其中，電機工程系提出30件為最多，申請率150％；運輸管理系提出13件，申請率130％；經營決策系14件，申請率127％；未來學研究所7件，申請率117％；資訊管理系20件，申請率111％；教育科技系12件，申請率109％；資訊工程系24件，申請率109％；化學工程與材料工程系18件，申請率106％；東南亞研究所、教育心理與諮商研究所、教育政策與領導研究所、航空太空工程系、財務系、全球化政治與經濟6系所申請率皆達100％。
</w:t>
          <w:br/>
          <w:t>
</w:t>
          <w:br/>
          <w:t>研究發展處研發長陳幹男表示，研究是教學的一部分，老師應該要多看新的書、論文，才能引發新的點子研究，而不會只是教授學生「故事」、過時的知識，做研究雖然確實十分辛苦，但仍應力求突破瓶頸。學術要和國際同步，甚至領先，才能符合學校國際化的政策，他期望專任、新進教師多做研究，向外爭取研究經費，以提升學術研究風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414016"/>
              <wp:effectExtent l="0" t="0" r="0" b="0"/>
              <wp:docPr id="1" name="IMG_18f55b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3/m\79c9f225-5c7c-443c-9df2-dad4af9de238.jpg"/>
                      <pic:cNvPicPr/>
                    </pic:nvPicPr>
                    <pic:blipFill>
                      <a:blip xmlns:r="http://schemas.openxmlformats.org/officeDocument/2006/relationships" r:embed="R838827ac72564e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414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8827ac72564e35" /></Relationships>
</file>