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6affa1ef6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跨越兩岸經貿互動的傳統思維
</w:t>
          <w:br/>
          <w:t>　過去近二十年，兩岸經貿互動的機制因台資投入及產業分工形成而共享其利。資金、技術、管理、國際經貿經驗等相對優勢是以往台資企業在大陸經營的有利條件。然而，全球化的加速不僅使中國成為世界工廠，亦以產業群聚（industrial cluster）、區域整合（regional in-tegration）擴大其國際經濟及國際政治影響力。
</w:t>
          <w:br/>
          <w:t>　因此，面對大陸市場持續開放、全球競爭加劇的經濟環境，除了評估台灣的「絕對優勢」之外，更應積極觀察區域集團化競爭的趨勢，以及整合國家政經發展策略。若以開創台灣未來發展的推力（push）、拉力（pull ）與重力（weight）來分析省思，不難發現影響台灣政經發展的種種因素，將是：
</w:t>
          <w:br/>
          <w:t>　推力（push）──政局穩定、持續民主化、掌握全球化發展的脈絡、知識化。拉力（pull）──政黨惡鬥的內耗、兩岸關係惡化、產業轉型受挫、被拒於區域整合門外等，都可能迫使台灣陷入困境。重力（weight）?猁?猁僵化的兩岸思維、歷史結構因素、全球的大陸迷思等非理性變因，都是決策過程中的沉重壓力。
</w:t>
          <w:br/>
          <w:t>  此外，對中國未來發展的觀察，應著重在其內部金融體系不健全、區域發展不平衡、農村工業化、農村就業等問題，將影響中國穩定的政經發展，並進而改變中國對台態度。</w:t>
          <w:br/>
        </w:r>
      </w:r>
    </w:p>
  </w:body>
</w:document>
</file>