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f4ebd4b3e8234328"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543 期</w:t>
        </w:r>
      </w:r>
    </w:p>
    <w:p>
      <w:pPr>
        <w:jc w:val="center"/>
      </w:pPr>
      <w:r>
        <w:r>
          <w:rPr>
            <w:rFonts w:ascii="Segoe UI" w:hAnsi="Segoe UI" w:eastAsia="Segoe UI"/>
            <w:sz w:val="32"/>
            <w:color w:val="000000"/>
            <w:b/>
          </w:rPr>
          <w:t>成人教育學院成立　韓耀隆接掌</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本報訊】本校於七月卅一日舉行新單位主管佈達，及一、二級單位新舊任主管交接典禮，其中包括新成立的成人教育學院等六個單位，並有外語學院等三個一級單位、文學院資訊與圖書館系等十七個系所，與十四個二級單位主管易人，也於當天進行交接。
</w:t>
          <w:br/>
          <w:t>
</w:t>
          <w:br/>
          <w:t>　六個新成立單位的主管佈達典禮，由校長張紘炬主持，新單位及主管分別是：成人教育學院院長韓耀隆、文學院漢語文化暨文獻資源研究所所長吳哲夫、理學院生命科學研究所所長張玉坤、奈米科技研究中心主任由理學院院長陳幹男兼任、儀器暨實驗中心主任楊龍杰、國際研究學院歐盟研究中心主任由歐洲研究所所長邱大環兼任。
</w:t>
          <w:br/>
          <w:t>
</w:t>
          <w:br/>
          <w:t>　張校長表示，成人教育學院是統合建教合作中心及推廣教育中心資源，鼓勵各研究所成立在職專班，加速發展成人回流教育；成立生命科學所及奈米科技中心兩單位，是配合廿一世紀最重要的兩項科技研究，也為未來發展需要，為國家培育專門人才；而歐盟研究中心則是目前全國大學中獨一無二的，本校圖書館早已成立歐盟資料庫，未來將致力於歐洲區域研究。
</w:t>
          <w:br/>
          <w:t>
</w:t>
          <w:br/>
          <w:t>　接著進行新任、卸任主管交接儀式，各單位新主管一一由卸任主管手中接下印信，象徵扛下這項重責大任。一級單位有三位新主管，分別是：外國語文學院院長宋美王華、教育學院院長陳伯璋、學生事務處學務長蔣定安。十七個系所新主管分別是：資訊與圖書館學系主任蔡明月、化學工程與材料工程系主任鄭東文、資訊工程系主任葛煥昭、產業經濟系主任梁文榮、公共行政系主任陳翠蓮、英文系主任楊銘塗、王秀琦同時任西班牙文系主任、拉丁美洲研究所所長、馬良文同時任俄文系主任、俄羅斯研究所所長、國際事務與戰略研究所所長王高成、教育科技系主任李世忠、管理系主任陳登源、財務系主任顧廣平、國際企業經營系主任林健次、建築技術系主任姚忠達及應用日語系主任陳山龍。
</w:t>
          <w:br/>
          <w:t>
</w:t>
          <w:br/>
          <w:t>　為提昇本校教學行政服務品質，新學年度也有十四個二級單位主管換人，期待有一番新氣象，他們分別是：通識與核心課程教學組組長謝朝鍾、教育品質管理組組長梁德昭、教務處註冊組組長許秀凰、課務組組長姜國芳、學生事務處課外活動組組長謝景棠、僑生輔導組組長陳珮芬、生涯規劃暨就業輔導組組長黃鳳娥、總務處交通安全組組長梁光華、人事室人二組組長方紫泉、圖書館海事博物組組長丘瑞玲、非書資料組組長馬少娟、典藏閱覽組組長丁紹芬、會計室會計一組組長葉彩雲及淡江時報社社長由出版中心主任黃輝南兼任。
</w:t>
          <w:br/>
          <w:t>
</w:t>
          <w:br/>
          <w:t>　張校長表示，這樣的行政與教學單位的調動將會持續進行，也就是擔任同一單位同一職務十年以上，年齡不超過六十歲者，皆將陸續調動職務。</w:t>
          <w:br/>
        </w:r>
      </w:r>
    </w:p>
    <w:p>
      <w:pPr>
        <w:jc w:val="center"/>
      </w:pPr>
      <w:r>
        <w:r>
          <w:drawing>
            <wp:inline xmlns:wp14="http://schemas.microsoft.com/office/word/2010/wordprocessingDrawing" xmlns:wp="http://schemas.openxmlformats.org/drawingml/2006/wordprocessingDrawing" distT="0" distB="0" distL="0" distR="0" wp14:editId="50D07946">
              <wp:extent cx="1280160" cy="1048512"/>
              <wp:effectExtent l="0" t="0" r="0" b="0"/>
              <wp:docPr id="1" name="IMG_f94fa7b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543/m\8524012c-0d9b-4746-81ba-7357e2c6e692.jpg"/>
                      <pic:cNvPicPr/>
                    </pic:nvPicPr>
                    <pic:blipFill>
                      <a:blip xmlns:r="http://schemas.openxmlformats.org/officeDocument/2006/relationships" r:embed="Ra31f57b86b63436f" cstate="print">
                        <a:extLst>
                          <a:ext uri="{28A0092B-C50C-407E-A947-70E740481C1C}"/>
                        </a:extLst>
                      </a:blip>
                      <a:stretch>
                        <a:fillRect/>
                      </a:stretch>
                    </pic:blipFill>
                    <pic:spPr>
                      <a:xfrm>
                        <a:off x="0" y="0"/>
                        <a:ext cx="1280160" cy="1048512"/>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a31f57b86b63436f" /></Relationships>
</file>