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9581f49ca0d4056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672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固定資產折舊方法變更　淡江醒吾展成果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學校要聞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賴映秀�淡水校園報導】教育部正推行「私立大專校院固定資產折舊方法變更」，並指定本校與元智、義守、崑山、醒吾、東方技術學院等6所大專校院先行試辦，本校3月29日與醒吾技術學院合辦，由會計長顏信輝帶領，對北區47所大學作報告，分享系統開發及相關問題之處理經驗，作為後續其他學校實施之參考。
</w:t>
          <w:br/>
          <w:t>
</w:t>
          <w:br/>
          <w:t>由於國立大學自94會計年度起已採直線法，為符合會計學理及增進國私立學校財務報表之可比較性，故將私立學校固定資產折舊提列方式由報廢法改採直線法，並將於97年8月1日全面實施。
</w:t>
          <w:br/>
          <w:t>
</w:t>
          <w:br/>
          <w:t>本校由會計室主導，保管組、會計室及資訊中心分工負責，預計於今年6月完成所有作業。會計室負責確認折舊計算方式、報表、系統計算金額覆核；保管組去年起即動員全校清查三個校園計10萬餘筆財產，並於2月查核完成；資訊中心進行系統分析、系統設計、程式設計、資料庫修訂及資料查核與轉換。由於此作業涉校務資訊系統中的預算、會計、設備三系統，皆由本校自行開發維護，在整合度上佔有優勢。</w:t>
          <w:br/>
        </w:r>
      </w:r>
    </w:p>
  </w:body>
</w:document>
</file>