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9baf818f4e4e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RENOVATING V101 FOR ARTISTIC PERFORMANCE: TAMSUI ARTISTS INVITED TO TRY THE NEW STAGE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let students have better audio-visual learning environment and the better performance stage, school furnishes funds of 5 million to remodel V101 into a multi-functional room, and the equipment takes on an entirely new look. Starting from this April, Golden Bough Theatre, and Genio Dance, etc. will be invited to perform at school.  
</w:t>
          <w:br/>
          <w:t>
</w:t>
          <w:br/>
          <w:t>Philip Shieh, Director of Center for General Education and Core Curriculum, said that the equipment of room V101 is nearly all upgraded. Besides building a spacious stage with the red timber from Queensland of Australia, the room is furnished with 110,000-dollar new piano, and completely new chairs, carpets, and curtains. With 3 meters high and 4.8 meters wide especially, the back-projected screen costs 1 million dollars as making people feel like in a luxurious cinema  
</w:t>
          <w:br/>
          <w:t>
</w:t>
          <w:br/>
          <w:t>Among them, the audio-visual equipment is most expensive with the total cost of 2,400,000 altogether. Including LCD Projector and stereo, a big back-projected screen is also purchased for projecting background at the class, and at the dace and drama shows.
</w:t>
          <w:br/>
          <w:t>
</w:t>
          <w:br/>
          <w:t>The room has already scheduled for several courses including Introduction to Music, Appreciation and Interpretation of World Musical Masterpieces, Introduction to Western Opera, Dialogue between Music and Art, Piano Art and Life, etc., and also opens for the piano playing club, Tamkang Chorus, etc. to use. Liu Shao-tong, junior of Department of Russian, who performed here before said, “The brand-new equipment really refresh this place.” Sun Shiao-ting, sophomore of Department of Mass Communication, who is taking a course at V101 this semester also said that people are excited and surprised at the newly renovated classroom, although technical problems occur to interrupt the class sometimes; therefore, improvement is still expected.  
</w:t>
          <w:br/>
          <w:t> 
</w:t>
          <w:br/>
          <w:t>Center for General Ed and Core Curriculum will try to arrange concerts and performances in the afternoon from next semester. Philip Shieh says that the room as a multi-function room can also be used for holding meetings beside of having classes and performances. People who have been to the room are all very satisfied. If there is a need, please contact with the Center for General Ed and Core Curriculum at extension 2658. Because screen fabrication cost a lot, suspensory guardrail specially is installed for preventing the accidental damage of kicking from students when they fall at the stage. The infrared ray security system and guarding system are also installed at V101 to protect the expensive equipment. In order To carry out the “Project of Invigorating General Eduction,” one section of the Teaching Excellent Project commissioned by MOE, the school will continuously set up general education theme classrooms and performance classroom, finished within three years. V101 is the first, and then classroom for social science and natural science will also be built in the future. ( ~Johnny Chu )</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34e66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1/m\2869f2ba-529c-40fc-a889-dbefdaa68cb5.jpg"/>
                      <pic:cNvPicPr/>
                    </pic:nvPicPr>
                    <pic:blipFill>
                      <a:blip xmlns:r="http://schemas.openxmlformats.org/officeDocument/2006/relationships" r:embed="R03e47eb0a16f44b2"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e47eb0a16f44b2" /></Relationships>
</file>