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d26acc5b0647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心靈卓越的第四波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本報續刊「心靈卓越的第四波」專題，本次主題為本校採用之各項重要策略理論，以塑造變革與創新的文化。創辦人在其《淡江第四波》專文中說明本校經營與教育之理念，包括S形曲線、第二曲線、J曲線與變革阻力之處理、馬太效應與重點系所、動物園熊貓現象與禮聘大師、豐富人生茁長者、目標導向的進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987552"/>
              <wp:effectExtent l="0" t="0" r="0" b="0"/>
              <wp:docPr id="1" name="IMG_fbf118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3/m\39e6457e-4dad-4790-841f-d0ebf4c0c854.jpg"/>
                      <pic:cNvPicPr/>
                    </pic:nvPicPr>
                    <pic:blipFill>
                      <a:blip xmlns:r="http://schemas.openxmlformats.org/officeDocument/2006/relationships" r:embed="R8fcf053ca5f342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9875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fcf053ca5f34280" /></Relationships>
</file>