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be1e54cac44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理學院◎院長錢凡之：跨國合作　創造雙贏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高教品質與績效評估方面，本校新進老師的工作負荷太大，應適度為他們減輕負擔。每個部門在領導上都要發揮管理的專業，建議學校可以為新主管成立一個管理研討會或以研習營的方式，讓他們學習管理上的知識。
</w:t>
          <w:br/>
          <w:t>至於外卡效應，本校在行銷上可能還做得不夠，需要加強，才能使淡江的外卡發揮效用。生科所助理教授陳曜鴻針對未來的外卡效應表示，學校應多鼓勵學生參與國內外學術會議或壁報競賽，以打響本校知名度。
</w:t>
          <w:br/>
          <w:t>在集體協作上，本校應積極與姊妹校合作，要求各系所每年固定交換教師，進行跨校、跨國的集體協作。目前本校已有許多外籍生與外籍教師，他們對於圖書館網頁的使用是否滿意，可能需要一個單位來協助圖書館，建立相關的資訊管理。教師個人資料系統方面，在本校網頁上資料不甚齊全，因此許多行政單位在搜尋資料時，常會找不到齊全的資訊，建請學校要強制教師該填寫哪些欄位，務求資料的完整性。
</w:t>
          <w:br/>
          <w:t>在氣候變遷與大學教育的省思上，本校的廁所經常可看見張貼許多節能標語，電梯旁也可考慮跟進，讓同學在等電梯時，也能吸收環保常識。而工學院在能源方面是專家，所以建議應由工學院組成一個節能小組，告訴師生怎麼做才能達到節能的效果。
</w:t>
          <w:br/>
          <w:t>在高等教育組織和淡江第四波方面，學校網路上應提供一個產學合作的平台，讓教師能很方便地將資料放入平台中，讓產學合作小組可以取得資料做審核、研判並執行，可藉此加快速度。（記者陳宛琳、黃士航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14272"/>
              <wp:effectExtent l="0" t="0" r="0" b="0"/>
              <wp:docPr id="1" name="IMG_16f94f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9/m\cee8b1bc-07e5-44da-b33b-078a41c48f3f.jpg"/>
                      <pic:cNvPicPr/>
                    </pic:nvPicPr>
                    <pic:blipFill>
                      <a:blip xmlns:r="http://schemas.openxmlformats.org/officeDocument/2006/relationships" r:embed="Rf2f89386d9384b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f89386d9384b2d" /></Relationships>
</file>