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c45691456743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TAMKANG FORUM ON RELATIONSHIP BETWEEN EU AND TAIWAN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College of International Studies invited Dr. Ming-chiou Chen, researcher of the Hoover Institution of Stanford University, and Dr. Masako Ikegami, Director of the Center for Pacific Asia Studies, Stockholm University, to attend a “Tamkang Forum,” hosted by Vice President of International Affairs, at T306 on December 18 and 19.
</w:t>
          <w:br/>
          <w:t>
</w:t>
          <w:br/>
          <w:t>Dr. Ming-chiou Chen’s lecture, “Recent US Relation with Mainland China and Hong Kong and Macau,” was responded by Dr. Marshall Sheen, Associate Professor, of Graduate Institute of American Studies, and Dr. Kao-chen Wang, Chair of Graduate Institute of Strategic Studies. Dr. Wang remarks that Hong Kong, though whose politic is not completely democratic, is equipped with law and order, and could be an important model for Taiwan. The participants of Dr. Masako Ikegami’s lecture include Dr. Chong-ko Tzou, Chair of Graduate Institute of European Studies, and Dr. Hsiu-chi Wang, Associate professor of the Graduate Institution of Latin American Studies. In her speech, “The Relation between EU and Northeast Asia,” Dr. Masako Ikegami elaborates on the ways to reinforce the cooperation between Taiwan and EU. (~ Maggie Wu )</w:t>
          <w:br/>
        </w:r>
      </w:r>
    </w:p>
  </w:body>
</w:document>
</file>