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6fc718d8bf47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708 期</w:t>
        </w:r>
      </w:r>
    </w:p>
    <w:p>
      <w:pPr>
        <w:jc w:val="center"/>
      </w:pPr>
      <w:r>
        <w:r>
          <w:rPr>
            <w:rFonts w:ascii="Segoe UI" w:hAnsi="Segoe UI" w:eastAsia="Segoe UI"/>
            <w:sz w:val="32"/>
            <w:color w:val="000000"/>
            <w:b/>
          </w:rPr>
          <w:t>CREATING ACCESSIBLE WEB: SPECIAL AIDS AREA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Digital Design Section of Information Processing Center offer a “Creating Accessible Web” training program this semester. This team not only provides the correlative training for each unit, but also establishes the special aids area. In the special area, each unit of our school could apply for the service for testing their website. The address is http://w3.tku.edu.tw/batol/enable. The website encompasses eight sections, including “Understanding Accessible Web,” “Demo,” “Flow Testing,” “hr mblem-listing,” “Download,” “Network,” “Q &amp;amp; A,” and “Service.” Before the application is sent to Research, Development, and Evaluation Commission, Executive Yuan, each unit can request the Center of Resources for the Blind to provide the assistance and testing in order to shorten the time of applying the web accessibility portal. ( ~Jaime Liu )</w:t>
          <w:br/>
        </w:r>
      </w:r>
    </w:p>
  </w:body>
</w:document>
</file>