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69282108a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管理學院：規劃呈現院務整體發展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院長陳敦基
</w:t>
          <w:br/>
          <w:t>　　系所特色目標配合學校經營理念，各系的目標、特色是重心，課程內容也須相呼應，管理學院的目標、特色歸納出兩點。第一是「辦得好」，如：企管系、會計系、資管系、決策系及公行系。第二「具獨特性」，像統計系與運管系，它們的特色為學程及產學合作。
</w:t>
          <w:br/>
          <w:t>  特色訂定的重要環節，在於系與院的配合，而院與校也要配合，對管理學院而言，如何發展自己的特色目標，本院設立八大目標，各系的目標從這裡向四面八方發展。本院是七個系一個班，使八大目標可面面俱到，讓各系挑選自己具優勢之處。管理學院相較其他學院的評鑑，其項目多出一項「院務整體發展」，此項目須有集結的說明，呈現出本院與校之間的連結。管理學院的特色即管理學院數位學習遠距教學課程及學程計畫。如創辦人所述，2058年之後，全世界都有網路相連結，我們現已有全球華商經營管理數位學習碩士在職專班，未來相關遠距的課程、學程，配合是勢在必行！因此透過未來三年，不管是在大學部或是研究所，逐一建立管理學院遠距教學的學程。
</w:t>
          <w:br/>
          <w:t>　　有關課程設計和教師專長配合系所特色發展目標，討論出以下5個方向：一、系所課程定位符合社會需求。二、依據系所目標發展特色開設學程。三、 整合教師專長開設學程。四、 配合學程開設證照課程。五、定期檢討修訂教學目標。管理學院目前已有9個學程，其中3個是教育部補助，而統計系、會計系、企管系各有2個學程，現要求每個系都要規劃2至3個學程，預計可規劃出15個學程，可以讓學生在選課上更多元化，選課資源更多，也讓學生很清楚知道自己本身具備哪些專長。
</w:t>
          <w:br/>
          <w:t>  因此，針對社會需求、科技進步、知識更新等面向去做調整，在過去的課程改革，不外乎舊酒裝新瓶、大腸包小腸，或是重新排列組合，現在要很清楚核心價值及理念，才能逐一地將自己特色的學程規劃出來。整合的過程會有困難，會付出成本與代價，但它所能發揮的整合效益將會相當具體且長遠。</w:t>
          <w:br/>
        </w:r>
      </w:r>
    </w:p>
  </w:body>
</w:document>
</file>