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f018bf4b945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申請SCI、A&amp;amp;HCI 本校期刊躍躍欲試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為提升本校學術期刊在國際上的能見度，再增競爭力，研究發展處日前再次邀請Thomson路透社資深區域經理梁銘心蒞校，與各期刊執行編輯等相關人員座談SCI、A&amp;amp;HCI選刊機制及申請程序。
</w:t>
          <w:br/>
          <w:t>梁銘心表示，期刊的準時性、區域性、流覽量及編輯能力等，都是評選標準重點。簡報中，他引用ISI Web of Science統計資料指出，淡江理工學刊論文被引用次數逐年成長；Tamkang Journal of Mathematics（淡江數學）表現也同樣亮眼，多次被美國及印度等國引用。出版中心主任黃輝南表示，再次舉辦活動，主要是讓各單位更加清楚選刊標準。研發長康尚文指出透過這次的會議，讓出版中心各期刊更清楚SCI、A&amp;amp;HCI申請程序，期待未來本校出版的期刊都能躍上國際舞台。</w:t>
          <w:br/>
        </w:r>
      </w:r>
    </w:p>
  </w:body>
</w:document>
</file>