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9a044dbac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加強外語能力 善用校友資源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理學院院長王伯昌
</w:t>
          <w:br/>
          <w:t>
</w:t>
          <w:br/>
          <w:t>　教師面對數位原生代時，應多用圖解教學，且要善用視覺媒體，並配合現代學生認知去發展，但理學院的知識，比如物理、化學大多是抽象的，所以教法得取得一個平衡點。現在的學生學習很寬廣，知識方面學習快又充足，但應再加強科學精神和科學發展史。另外，有關學校環境建構，希望教室內硬體設施（如投影片機等設施）可以跟黑板分開，以便教學時書寫黑板和講解能更順暢。
</w:t>
          <w:br/>
          <w:t>　在大三留學政策方面，由於理學院學生的英文能力較差，所以申請大三出國不是很踴躍，以後應多加強英文，在大一就開始做準備。每個科系出國留學的屬性不一樣，建議各院所依其屬性自訂國外留學的方式，如本院宜著重研究所去國外留學。而且每個學校的教學不一樣，國外學校課程不一定可以銜接本校，常常會有「認知負荷差距」，所以在課程銜接上面要先和姐妹校溝通，再去補強。另外建議請資訊中心建置資源平台，讓各院所設置「在學出國留學網頁專區」，提供適合本院學生申請資訊，如： 教育部「學海築夢」、本校「在學生出國修習學分計畫」、美國天普大學「3+2雙學位」等。
</w:t>
          <w:br/>
          <w:t>　至於如何運用本校一甲子歷史傳承的優勢？本組認為應善用校友資源，推展產學合作，鼓勵教師專利發明，並協助年輕助理教授出國交流，以持續激發本校學術發展的活力。在善用姐妹校聯盟資源方面，建議國交處隨時主動宣導，提供更精確的交流訊息，以系、院為單位展開學術交流。（潘彥霓整理、圖�&amp;#20931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2baaeb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1515703f-861a-46f2-8a4a-089b01cf6c99.jpg"/>
                      <pic:cNvPicPr/>
                    </pic:nvPicPr>
                    <pic:blipFill>
                      <a:blip xmlns:r="http://schemas.openxmlformats.org/officeDocument/2006/relationships" r:embed="R5232f533c3a04e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32f533c3a04e74" /></Relationships>
</file>