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2aaeedeac4f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改善師資結構 擴建CAE教室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工學院院長虞國興
</w:t>
          <w:br/>
          <w:t>
</w:t>
          <w:br/>
          <w:t>　面對數位原生代的學生，在教學策略上與設計，應運用當前資訊科技技術，與科技接軌；學習業界使用之電腦應用軟體，與產業界接軌；建議基礎課程（如微積分）採小班教學，並請學校協助課程數位化之設計。為了能夠提升學生學習意願，再塑淡江工學院畢業生具備電腦強項之形象，進而強化學生就業競爭力，計劃擴建CAE電腦教室，將工學院的教學特色放在電腦軟體應用上，讓本校過去一直具有電腦強項的形象能夠再次活化。
</w:t>
          <w:br/>
          <w:t>　為了激發工學院學術發展的活力，計劃禮聘「熊貓級」教授、業界師資等，以改善師資結構，並推動五年特色領域扶植計畫；建置研究教師體系；獎勵產學合作，積極爭取業界科專、學界科專計畫；建置「工學院精密儀器中心」；持續全額補助教師參與學術活動；建置吸引優秀學生就讀碩士班之學制，推動跨領域合作的招生，以改善研究環境。
</w:t>
          <w:br/>
          <w:t>　至於如何推動「工學院建校百年遠景實現計畫」？我們初步構想以各系擬訂發展計畫：舉凡教學、研究、系務行政等應興應革工作，皆可納入計畫內容，必須全員參與、具體可行。秉持「一步一腳印」，以凡做過的必須有利於未來之原則，加以規劃內容。且應一期接續一期，逐步累積工學院的教學與研究能量：四年為一期，共計八期之長期發展計畫。每期計畫結束後，均以一年的時間進行檢討，並研訂下一個四年計畫。最後，工學院須參與各系計畫之訂定，且盡力提供資源，以協助各系計畫之推動與落實。（王育瑄整理、圖�&amp;#20931嘉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50e8fa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4/m\4eee5e39-f28f-45da-9504-e59a8915e797.jpg"/>
                      <pic:cNvPicPr/>
                    </pic:nvPicPr>
                    <pic:blipFill>
                      <a:blip xmlns:r="http://schemas.openxmlformats.org/officeDocument/2006/relationships" r:embed="Rcc57341067c442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c57341067c442d3" /></Relationships>
</file>