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e8537f5f5c40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STUDENTS OF ZHEJIANG UNIVERSITY AND TAMKANG UNIVERSITY COMMUNICATED WITH MUSIC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joint concert by Zhejiang University and Tamkang University was held at Student Activity Center on June 10. Zhejiang University Wenqin Symphony Orchestra performed nine symphonies and one encore. TKU student clubs including Tamkang Chorus, Chinese Music Club, Harmonica Club, and String-instrument Playing Social Club also performed in the concert, giving TKU a romantic night.
</w:t>
          <w:br/>
          <w:t>
</w:t>
          <w:br/>
          <w:t>Wenqin Symphony Orchestra especially performed the Taiwanese folk song “Alishan Girls” in the concert. Wearing Taiwanese aboriginal costume and headdress, the solo vocalist swung with the rhythmic music, whose powerful and penetrating voice made the audience cheer and yell. Gan Yung-ying, Associate Professor of Center for General Education and Core Curriculum, indicated that they not only arranged the program ingeniously, but also presented a high-quality show. “I can feel their passion to music in their music, which really moved me a lot,” said Gan. Zhang Hao-tian, a violin player of Wenqin Symphony Orchestra, kept praising TKU students’ performance as well. “I’ve never seen such a chorus performance, and it is also my first time to see such as big harmonica,” said Chang. He remarked that the harmonica performance is very good, too. ( ~Shu-chun Yen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de18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2610a2bf-ab9b-471a-af21-58a3f033efc6.jpg"/>
                      <pic:cNvPicPr/>
                    </pic:nvPicPr>
                    <pic:blipFill>
                      <a:blip xmlns:r="http://schemas.openxmlformats.org/officeDocument/2006/relationships" r:embed="R0de72892b1094f6f"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e72892b1094f6f" /></Relationships>
</file>