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d3e5fa90294c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DR. GWO-HSING YU WAS ELECTED AS NEW VICE PRESIDENT FOR ACADEMIC AFFAIRS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handing-over ceremony of 2010 academic year, August 2, 2010, Chueh-sheng International Conference Hall, hosted by President C. I. Chang, Dr. Kan-nan Chen handed over the seat of Vice President for Academic Affairs to Dr. Gwo-hsing Yu of Department Of Water Resources and Environmental Engineering. In addition, 19 first and second order educational heads and 10 administrative chiefs of the second order were replaced, and the seals for the heads of five new offices were given.
</w:t>
          <w:br/>
          <w:t>  
</w:t>
          <w:br/>
          <w:t>In Lanyang campus, College of Entrepreneurial Development and the College of Global Research and Development are integrated to become the College of Global Entrepreneurial Development, and Dr. Ay-Hwa Andy Liou is the new Dean. Office of Research and Development has added three new centers: Innovative Center for Cultural and Creativity Industries (directed by Dr. Ya-ly Chao), Research Development Center of Construction Law (directed by Dr. Su-Ling Fan), and Center for Advanced Technology (directed by Dr. Ming-hsien Wong). College of Business and College of Management co-organize a new Office of AACSB (The Association to Advance Collegiate Schools of Business), which will be in charged by Dr. Ku-jun Lin.　
</w:t>
          <w:br/>
          <w:t>
</w:t>
          <w:br/>
          <w:t>President Chang acknowledged the contributions of the superseded administrators and urged the new administrators to read the regulations in Students Learning Outcomes Assessment closely to familiarize themselves with the system of student learning and that of educational review so that all the staffs can work together to better the school.
</w:t>
          <w:br/>
          <w:t>
</w:t>
          <w:br/>
          <w:t>The new Vice President for Academic Affairs, Dr. Gwo-hsing Yu, who took his Ph. D at Purdue University, had been the Dean of College of Engineering for years. Dr. Yu regards the new mission a challenge. He plans to increase the academic energy, assist the teacher and students in researches, and supply with better learning resources.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b7bb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3/m\a9daaa7a-c173-45a0-9aca-f9c9439c5955.jpg"/>
                      <pic:cNvPicPr/>
                    </pic:nvPicPr>
                    <pic:blipFill>
                      <a:blip xmlns:r="http://schemas.openxmlformats.org/officeDocument/2006/relationships" r:embed="Re5c4fcda15b14459"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c4fcda15b14459" /></Relationships>
</file>