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3849240c5c46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RESULT OF CREATIVE DESIGN PROJECT OF RECRUITMENT COMPETITION WAS ANNOUNCED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publicize TKU’s reputation and promote the competiveness of student recruitment. Recruitment Section, Office of Academic Affairs has hosted a “Creative Design Project of Recruitment” competition.
</w:t>
          <w:br/>
          <w:t>The first prize went to Shen Yu-wei, senior of Dept. of International Business, with his “National Egg-roll Day: Circling the World,” which features TKU’s global-oriented objective with exotic foreign cultures. Ju Tsai-juan, senior of Dept. of Business Management, won the second prize for her work, “Chingsheng Tamkang Egg-roll: A Tasting Camp,” which creates a symbol of excellent TKU faculty by combining the image of Tamsui Old Street and that of University Commons in Tamsui campus. The third place went to Chang Yun-jung, senior of Dept. International Business, Night Division, for his work “Tamkang Silver Melody,” emphasizing TKU’s link to the origin of contemporary Taiwan folk song, attracting high school students who are fond of music.
</w:t>
          <w:br/>
          <w:t>Wang Ti-yu, Section Chief of Recruitment Section, Office of Academic Affairs, indicates that the three winners are from College of Business and College of Business Management. They reveal talent in project designing. Chief Wang encourages students from all colleges to join the next competition and test one’s creativity. ( ~Chen Chi-szu )</w:t>
          <w:br/>
        </w:r>
      </w:r>
    </w:p>
  </w:body>
</w:document>
</file>