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0b12422a4944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Consistent Growth in TKU Research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Each year, Tamkang grants research subsidies to proactive faculty members who have had research articles published in renowned scholarly journals. This year, subsidies were allocated to an unprecedented 202 full-time teachers, who produced a total of 432 scholarly articles. The aggregate amount of subsidies granted came to NT $22.5 million. Compared with last year, this is an increase of six recipients, 39 published articles, and NT $800,000 in overall funding.
</w:t>
          <w:br/>
          <w:t>The TKU colleges with the most teachers to receive the subsidy include: the College of Engineering, which came first with 81 recipients, the College of Management (40 recipients), the College of Science (39), the College of Business (23), the College of Education (8), the College of Liberal Arts (4), the College of Global Research and Development (3), and two recipients each from the College of Foreign Language and Literature, and the College of International Studies.
</w:t>
          <w:br/>
          <w:t>The three largest subsidies were given to two professors from the Department of Chemical and Materials Engineering, Dr. Hwang Kuo-jen (NT $340,000) and Dr. Ho Chii-dong (NT $300,000), and Department of Physics professor, Dr. Pong Way-faung (NT $300,000).
</w:t>
          <w:br/>
          <w:t>The TKU Vice President for Academic Affairs, Dr. Gwo-hsing Yu, said that increasing numbers of subsidy recipients and published articles is indicative of a gradual and steady growth in the strength and scope of TKU research.</w:t>
          <w:br/>
        </w:r>
      </w:r>
    </w:p>
  </w:body>
</w:document>
</file>