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1794b761914f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A Series of Legal Lectures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Graduate Institute of Asian Studies, the Modern Japan Research Association and the Japanese Interchange Association have together organized a series of law-based lectures to be delivered in various locations across Taiwan. A total of five lectures are being held, and will be delivered by prominent Japanese Legal experts, from the 3rd to the 12th of this month. The first lecture, which took place on Jan. 3rd at TKU’s Tamsui Campus, talked of modern China’s constitution. The final lecture will describe the impact of China’s tumultuous political history on its modern legal system.</w:t>
          <w:br/>
        </w:r>
      </w:r>
    </w:p>
  </w:body>
</w:document>
</file>