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8d7c16ba024f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茶藝社獲頒感謝狀</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茶藝社日前由中華國際無我茶會推廣協會第八屆理事長陳文慶頒發感謝狀，感謝他們一直以來的幫忙，包括：2009、2010中秋夜晚無我茶會及20 1 0世界奉茶日。茶藝社社長中文二林家琦說：「在現場幫忙時，可
</w:t>
          <w:br/>
          <w:t>以體會到無我茶會『人人泡茶、人人奉茶、人人喝茶』那種不分你我的精神。」（莊旻嬑）</w:t>
          <w:br/>
        </w:r>
      </w:r>
    </w:p>
  </w:body>
</w:document>
</file>