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577f469fc2445a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814 期</w:t>
        </w:r>
      </w:r>
    </w:p>
    <w:p>
      <w:pPr>
        <w:jc w:val="center"/>
      </w:pPr>
      <w:r>
        <w:r>
          <w:rPr>
            <w:rFonts w:ascii="Segoe UI" w:hAnsi="Segoe UI" w:eastAsia="Segoe UI"/>
            <w:sz w:val="32"/>
            <w:color w:val="000000"/>
            <w:b/>
          </w:rPr>
          <w:t>TKU Students Go Book Club Crazy</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nurture in students a more proactive approach to study, from the second semester of 2009, the TKU Center for Learning and Teaching has been promoting the formation of book clubs. Students have responded with enthusiasm. The number of book club groups has risen from 13 at the beginning of the initiative, to 23 groups last semester.
</w:t>
          <w:br/>
          <w:t>
</w:t>
          <w:br/>
          <w:t>Cao Yuting, a graduate student who took part in a book club last semester, said that “taking part in the book club and writing the required club record inadvertently forced me to do an extra review of my homework. This helped me to gain an even more thorough grasp of my class work.”
</w:t>
          <w:br/>
          <w:t>
</w:t>
          <w:br/>
          <w:t>This semester, registration to form book clubs began on Feb. 21. Such clubs must consist of 6-8 members, who themselves should decide on the content and format of club meetings. The focus of club meetings should be to improve club members’ studying abilities.
</w:t>
          <w:br/>
          <w:t>
</w:t>
          <w:br/>
          <w:t>The format of such book clubs includes both face-to-face as well as online club meetings. Members of face-to-face style book clubs must meet at least 3 times a month; and meeting content must be recorded and sent to the TKU Student Learning Support Service Section. Members of online book clubs, on the other hand, must upload at least 3 new articles onto the book club discussion website every month. 
</w:t>
          <w:br/>
          <w:t>
</w:t>
          <w:br/>
          <w:t>The first ten clubs to register will receive subsidies to assist them in paying for printing or food costs. Don’t miss this opportunity! Download the registration form from the Student Learning Support Service Section website.</w:t>
          <w:br/>
        </w:r>
      </w:r>
    </w:p>
    <w:p>
      <w:pPr>
        <w:jc w:val="center"/>
      </w:pPr>
      <w:r>
        <w:r>
          <w:drawing>
            <wp:inline xmlns:wp14="http://schemas.microsoft.com/office/word/2010/wordprocessingDrawing" xmlns:wp="http://schemas.openxmlformats.org/drawingml/2006/wordprocessingDrawing" distT="0" distB="0" distL="0" distR="0" wp14:editId="50D07946">
              <wp:extent cx="4876800" cy="3005328"/>
              <wp:effectExtent l="0" t="0" r="0" b="0"/>
              <wp:docPr id="1" name="IMG_54cb7f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14/m\cd141586-ce5f-4abb-84c6-1cb9eb83f8b1.jpg"/>
                      <pic:cNvPicPr/>
                    </pic:nvPicPr>
                    <pic:blipFill>
                      <a:blip xmlns:r="http://schemas.openxmlformats.org/officeDocument/2006/relationships" r:embed="R39645091dba14a95" cstate="print">
                        <a:extLst>
                          <a:ext uri="{28A0092B-C50C-407E-A947-70E740481C1C}"/>
                        </a:extLst>
                      </a:blip>
                      <a:stretch>
                        <a:fillRect/>
                      </a:stretch>
                    </pic:blipFill>
                    <pic:spPr>
                      <a:xfrm>
                        <a:off x="0" y="0"/>
                        <a:ext cx="4876800" cy="300532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9645091dba14a95" /></Relationships>
</file>