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5b3fe74044a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99學年度大一新生入學學測指考成績統計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99學年度大一新生入學學測指考成績，根據教務處招生組統計，大一國、英、數三科成績達均標人數超過半數以上。統計三科頂標與前標總和人數，其中數學成績理學院、工學院採計學測及指考數甲；文學院、商學院、外語學院、教育學院採計學測及指考數乙成績；管理學院及全球創業發展學院，則採計學測及指考數甲、乙成績；本統計提供各院系作為訂定招生條件參考。（圖、文／陳頤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29712" cy="1761744"/>
              <wp:effectExtent l="0" t="0" r="0" b="0"/>
              <wp:docPr id="1" name="IMG_eac242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2/m\6dc9bd66-d48a-48be-b0b2-5b6b9754e910.jpg"/>
                      <pic:cNvPicPr/>
                    </pic:nvPicPr>
                    <pic:blipFill>
                      <a:blip xmlns:r="http://schemas.openxmlformats.org/officeDocument/2006/relationships" r:embed="R927edbb6cf5c4f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9712" cy="1761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7edbb6cf5c4f6a" /></Relationships>
</file>