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a4691c3145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二級單位主管-研究推動組組長 葉彩雲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組織活化特刊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學歷:
</w:t>
          <w:br/>
          <w:t>銘傳商專 會統科
</w:t>
          <w:br/>
          <w:t>經歷:
</w:t>
          <w:br/>
          <w:t>淡江大學會計處稽核組組長、綜合發展中心編纂、研究發展處研究推動組組長
</w:t>
          <w:br/>
          <w:t>為提升本校學術研究能量及產學合作績效，於100學年度於研究發展處成立研究發展組，籌組學術研究及產學合作團隊，希望能夠鼓勵學術研究以及產學合作，並且目標研究整合的開發外部資源和擴大社會服務。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34896" cy="1834896"/>
              <wp:effectExtent l="0" t="0" r="0" b="0"/>
              <wp:docPr id="1" name="IMG_9573f0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30/m\8ab0a482-3b20-4d02-8ca9-ba0df50882cd.jpg"/>
                      <pic:cNvPicPr/>
                    </pic:nvPicPr>
                    <pic:blipFill>
                      <a:blip xmlns:r="http://schemas.openxmlformats.org/officeDocument/2006/relationships" r:embed="Re20d06cb6ed146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4896" cy="1834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20d06cb6ed146ce" /></Relationships>
</file>