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0199d12bf444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A Welcoming Ceremony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10am today, August 1, a ceremony to welcome new department chairs and inaugurate new TKU departments, administrative sections, and research centers was held at the the Chueh Sheng International Memorial Hall, Tamsui Campus. Among the newly established organizations were the Intelligent Automation and Robotics Center, the Information Technology and Behavioral Research Center, the Office of International and Cross-Strait Affairs, along with the International and Cross-Strait Exchange Section and the International and Mainland Student Guidance Section. A total of 22 changes have been made to first and second level management positions.
</w:t>
          <w:br/>
          <w:t>
</w:t>
          <w:br/>
          <w:t>During the ceremony, the President of TKU, Dr. Flora Chia-I Chang, delivered a brief speech. She took the chance to thank the former department heads for their long-term commitment to TKU. She also encouraged the new leaders to continue working to improve Tamkang. President Chang last week attended a gathering for Cross-Strait universities, which included the most respected universities from Mainland China, Hong Kong, Macau and Taiwan. She noted that Tamkang’s attendance at the event reflected its close relationship with leading universities in Mainland China.
</w:t>
          <w:br/>
          <w:t>
</w:t>
          <w:br/>
          <w:t>Also at the ceremony, President Chang asserted TKU’s four major directions for the 2011-2012 academic year. These are as follows:
</w:t>
          <w:br/>
          <w:t>
</w:t>
          <w:br/>
          <w:t>1. Improving guidance services offered to Mainland Chinese students and strengthening the foundations of Mainland Chinese student recruitment.
</w:t>
          <w:br/>
          <w:t>
</w:t>
          <w:br/>
          <w:t>2. Implementing development plans for teaching and research; augmenting Tamkang’s unique characteristics.
</w:t>
          <w:br/>
          <w:t>
</w:t>
          <w:br/>
          <w:t>3. Enhancing opportunities for research and future development through increased funding and closer cooperation with industry.
</w:t>
          <w:br/>
          <w:t>
</w:t>
          <w:br/>
          <w:t>4. Drawing on a broad range of resources to construct a new Information Education building.</w:t>
          <w:br/>
        </w:r>
      </w:r>
    </w:p>
  </w:body>
</w:document>
</file>