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cc39a20d5744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Revising, Renaming, and Reshuffling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Prior to the start of the 2011-2012 academic year, a number of key TKU departments and position titles were revised, renamed, and reshuffled. 
</w:t>
          <w:br/>
          <w:t>
</w:t>
          <w:br/>
          <w:t>The Office of International Exchange and International Education (OIEIE) became the Office of International and Cross-Strait Affairs (OICSA), which now consists of two new subsidiary bodies: the International and Cross-Strait Exchange Section and the International and Mainland Student Guidance Section. The Information Processing Center became the Office of Information Services, while the Personnel Office became the Human Resources Division. In terms of position titles, the title ‘Director’ changed to ‘Dean’ in the context of TKU’s main administrative departments. For example, the Director of the Office of Academic Affairs is now the Dean of the Office of Academic Affairs.
</w:t>
          <w:br/>
          <w:t>
</w:t>
          <w:br/>
          <w:t>The impetus for this restructuring lies in Tamkang’s four primary goals for the 2011-2012 academic year. These include: 
</w:t>
          <w:br/>
          <w:t>
</w:t>
          <w:br/>
          <w:t>1. Improving guidance services offered to Mainland Chinese students and strengthening the foundations of Mainland Chinese student recruitment.
</w:t>
          <w:br/>
          <w:t>
</w:t>
          <w:br/>
          <w:t>2. Implementing development plans for teaching and research; augmenting Tamkang’s unique characteristics.
</w:t>
          <w:br/>
          <w:t>
</w:t>
          <w:br/>
          <w:t>3. Enhancing opportunities for research and future development through increased funding and closer cooperation with industry.
</w:t>
          <w:br/>
          <w:t>
</w:t>
          <w:br/>
          <w:t>4. Drawing on a broad range of resources to construct a new Information Education Building.</w:t>
          <w:br/>
        </w:r>
      </w:r>
    </w:p>
  </w:body>
</w:document>
</file>