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18c439caad4d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TKU Clubs Hold Orientation Events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student clubs and societies have been working overtime thinking of ways to attract even more new students. To achieve this goal, several TKU societies recently held orientation activities designed to welcome new club members and display the vigor of TKU clubs.
</w:t>
          <w:br/>
          <w:t>
</w:t>
          <w:br/>
          <w:t>The Lyric Writing and Composition Club held a small-scale concert at the Shao-Mo Memorial Gymnasium on September 15. The TKU Dance Club held a dance competition at the Gymnasium, designing a stage that resembled a popular Taiwanese TV Show. The dance contest featured Hip Hop, Kung Fu-Style dancing, and various other themes. 
</w:t>
          <w:br/>
          <w:t>
</w:t>
          <w:br/>
          <w:t>Orientation events were also held by the TKU Skating Club, the Technical Cheer Squad, the Photo Club, and the Stocks and Bonds Investment Society.</w:t>
          <w:br/>
        </w:r>
      </w:r>
    </w:p>
  </w:body>
</w:document>
</file>