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41fe929e5b4d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Two New Sister Schools for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recently concluded partnership agreements with two leading overseas universities: the Queensland University of Technology (QUT) and California State Polytech University, Pomona. At the same time, TKU and QUT also signed an agreement initiating dual degree programs across four academic departments: the Department of Economics, Finance, International Business, and International Economics.
</w:t>
          <w:br/>
          <w:t>The Dean of International Affairs, Dr. Pei Wha Chi Lee, stated that “We hope to increase the number of TKU partner universities so that we can provide students with a wider choice of universities when going overseas on student exchange.” She added: “In the past, we’ve only made dual degree agreements between one academic department from each university. So, to be able to sign an agreement for exchange between four departments is truly a significant step forward.”
</w:t>
          <w:br/>
          <w:t>Another step forward was the partnership Tamkang concluded with California State Polytech University, Pomona. Cal Poly Pomona boasts one of the Leading architecture schools in the US and one of the Largest Regenerative Studies Centers in Western USA.</w:t>
          <w:br/>
        </w:r>
      </w:r>
    </w:p>
  </w:body>
</w:document>
</file>