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0acd2b64b24b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835 期</w:t>
        </w:r>
      </w:r>
    </w:p>
    <w:p>
      <w:pPr>
        <w:jc w:val="center"/>
      </w:pPr>
      <w:r>
        <w:r>
          <w:rPr>
            <w:rFonts w:ascii="Segoe UI" w:hAnsi="Segoe UI" w:eastAsia="Segoe UI"/>
            <w:sz w:val="32"/>
            <w:color w:val="000000"/>
            <w:b/>
          </w:rPr>
          <w:t>EU Activities at the Tamsui Campus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celebrate TKU’s 61st anniversary and promote research on the EU and the relationship between Europe and Asia, the TKU Center for European Union Studies and the European Union Center in Taiwan will be jointly holding a special EU exhibition that will elucidate the process of unification, EU foreign policy and its relationship with Asia.
</w:t>
          <w:br/>
          <w:t>They will also hold three competitions in which students can win substantial cash prizes. The Director of the TKU Center for European Union Studies and the Graduate Institute of European Studies, Dr. Chiu-ching Kuo, said that “through holding writing, speaking, and photography contests, we provide students with practical experience that is invaluable to their studies. What’s more, students can win a range of large cash prizes. We hope to see a large number of students participating”.
</w:t>
          <w:br/>
          <w:t>The deadline to register for the competition is October 28. For more details, please refer to the website http://w3.tku.edu.tw/eurc/news-detail.asp?id=74</w:t>
          <w:br/>
        </w:r>
      </w:r>
    </w:p>
  </w:body>
</w:document>
</file>