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0872858f374c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An Enthusiastic Response to a New TKU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Taiwan Culture and Creative International Competition has received a positive response from students, who have registered in droves. “I feel that the stuff I’ll learn in this competition will far outweigh anything I could learn in class”, said third year Department of French student, Atoile Au, who has already decided to sign up for the contest.
</w:t>
          <w:br/>
          <w:t>
</w:t>
          <w:br/>
          <w:t>Atoile noted that the competition will allow students to learn many skills needed in the workplace, “which is particularly important for 3rd and 4th year students”. The competition organizers are now calling on students to organize themselves into teams, to sign up for the competition, and to help promote MIT (Made in Taiwan) products to the world.
</w:t>
          <w:br/>
          <w:t>
</w:t>
          <w:br/>
          <w:t>Niu Chun-pai, a special project manager with the TKU Innovative Center for Cultural and Creative Industries, explained that the “competition requires a variety of skills and abilities, including skills needed in the fields of business and management, foreign languages, writing, photography, and visual arts, among others”. Entrants are encouraged to find teammates who are skilled in different areas to increase their chances of winning.</w:t>
          <w:br/>
        </w:r>
      </w:r>
    </w:p>
    <w:p>
      <w:pPr>
        <w:jc w:val="center"/>
      </w:pPr>
      <w:r>
        <w:r>
          <w:drawing>
            <wp:inline xmlns:wp14="http://schemas.microsoft.com/office/word/2010/wordprocessingDrawing" xmlns:wp="http://schemas.openxmlformats.org/drawingml/2006/wordprocessingDrawing" distT="0" distB="0" distL="0" distR="0" wp14:editId="50D07946">
              <wp:extent cx="4498848" cy="4876800"/>
              <wp:effectExtent l="0" t="0" r="0" b="0"/>
              <wp:docPr id="1" name="IMG_b2a5c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8/m\707d7f6e-ab15-4cc3-b3a3-a178464cb2b1.jpg"/>
                      <pic:cNvPicPr/>
                    </pic:nvPicPr>
                    <pic:blipFill>
                      <a:blip xmlns:r="http://schemas.openxmlformats.org/officeDocument/2006/relationships" r:embed="R586df585aa14495c" cstate="print">
                        <a:extLst>
                          <a:ext uri="{28A0092B-C50C-407E-A947-70E740481C1C}"/>
                        </a:extLst>
                      </a:blip>
                      <a:stretch>
                        <a:fillRect/>
                      </a:stretch>
                    </pic:blipFill>
                    <pic:spPr>
                      <a:xfrm>
                        <a:off x="0" y="0"/>
                        <a:ext cx="44988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6df585aa14495c" /></Relationships>
</file>