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94b79d23cb4a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The International Office “Moves Home”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Office of International and Cross-Strait Affairs recently relocated to the 10th floor of the Ching Sheng Memorial Building, Tamsui Campus.
</w:t>
          <w:br/>
          <w:t>
</w:t>
          <w:br/>
          <w:t>The Dean of International Affairs, Dr. Pei Wha Chi Lee, stated that the new arrangement, with employees from the International Exchange and International Guidance sections all under the one roof, makes communication and mutual coordination far more convenient. Apart from containing the sections’ respective offices, the refurbished 10th floor also boasts a reference room, discussion room and student activity room. The Section Chief of the International and Mainland Student Guidance Section Chen Pei-feng, said that “we’ll continue to hold regular dinners and social gatherings for international and overseas Chinese students to allow such students to get to know each other and hopefully become lifelong friends”.</w:t>
          <w:br/>
        </w:r>
      </w:r>
    </w:p>
  </w:body>
</w:document>
</file>