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dd9042b5743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教部性騷擾準則警狼師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日前北部某大學傳出教師觸摸女學生手臂等騷擾行為，以致該師日後開課無學生敢選課，引起該校關切並召開性平會調查，該校稱狼師最重恐面臨解聘處分。校長室祕書暨性別平等教育委員會執行祕書黃文智表示，不受歡迎且具有性意味的行為，將影響學生人格尊嚴及其學習表現；目前狼師條款的約制範圍，已擴增至全體教職員工含兼任教師及約聘人員，「籲請千萬不要逞一時之快，誤觸天條。」
</w:t>
          <w:br/>
          <w:t>  性別平等教育委員會也呼籲，性平法的精神在於促進性別地位的實質平等，並建立性別平等的教育環境，本校首頁下方可快速連結性平會(http://gender.tku.edu.tw/)，供查詢性別平等教育的相關資訊，歡迎全校師生多加利用。</w:t>
          <w:br/>
        </w:r>
      </w:r>
    </w:p>
  </w:body>
</w:document>
</file>