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1341f39d8640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Former Minister Opts for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After recently completing his term as the ROC Minister of Education, Dr. Wu Ching-ji announced his intention to continue his former career as a professor. Immediately, he received offers of employment from universities across Taiwan - 42 in total. Former Minister Wu accepted just two of the offers. One was from his alma mater, National Taiwan Normal University. The other, Tamkang University. He explained: “Tamkang University is a leading university with a long history of academic freedom”.
</w:t>
          <w:br/>
          <w:t>
</w:t>
          <w:br/>
          <w:t>TKU President, Dr. Flora Chia-I Chang, said that “we asked Former Minister Wu to come and teach at Tamkang because, before he served as the Minister of Education, the principles of education he taught at NTNU (in the course “Educational Administration”) was virtually identical to the educational philosophy adopted by the TKU Graduate Institute of Educational Policy and Leadership. We hope that by drawing on Dr. Wu’s practical experience in educational administration, students in the course “Emerging Issues in Education” (to be taught by Dr. Wu) can gain an even stronger grasp on the practical elements of educational administration”.</w:t>
          <w:br/>
        </w:r>
      </w:r>
    </w:p>
  </w:body>
</w:document>
</file>