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e0636d1da41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數字解密&gt;100學年度學雜費收入占總收入比例 68%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收入可分為學雜費收入、推廣教育收入、建教合作收入、補助收入、捐贈收入、財務收入及其他收入。其中，學雜費收入為最主要的收入來源，96學年度學雜費收入為25.27億元，佔本校總收入的74%；100學年度學雜費收入略降至24.85億元，約佔學校總收入的68%。學雜費收入略降的原因為招生人數逐年減少；學雜費佔總收入比例降低的原因，則為學校爭取的補助收入逐年增加，降低學校營運對學雜費收入的依賴。
</w:t>
          <w:br/>
          <w:t>100學年度直接支用於同學的教學研究訓輔支出（包括教師薪資、水電、網路、折舊、維修維護等等）及獎助學金共計25.02億元，已超越學雜費收入的24.85億元。因此，學校新購置圖書、軟體、儀器設備、工程建設等支出，則仰賴極力爭取政府補助、向外募款、產學及建教合作等收入之挹注，始可滿足師生教學研究之需求。
</w:t>
          <w:br/>
          <w:t>本校近五年收入金額請見財務資訊專區網頁http://w3.tku.edu.tw/finance/infoanalysis.asp、
</w:t>
          <w:br/>
          <w:t>財務處網頁http://www.finance.tku.edu.tw/infomation/archive.php?class=101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2834640"/>
              <wp:effectExtent l="0" t="0" r="0" b="0"/>
              <wp:docPr id="1" name="IMG_afcf78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5/m\b7582795-b38a-4e06-8c03-f1475e8eb33c.jpg"/>
                      <pic:cNvPicPr/>
                    </pic:nvPicPr>
                    <pic:blipFill>
                      <a:blip xmlns:r="http://schemas.openxmlformats.org/officeDocument/2006/relationships" r:embed="R442aea58dc164f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2834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2aea58dc164f9f" /></Relationships>
</file>