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54552696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【數字解密】2.75億元 100學年度圖儀支出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除投入經常支出以維持校舍教室及設備之最佳化使用外，對於圖書、機械儀器設備及電腦軟體等資本門的投入亦不遺餘力。以100學年度為例，本校新購置圖書及博物約9,600萬元、機械儀器及設備1億6,000多萬元、電腦軟體1,500多萬元，圖書儀器設備軟體總支出（以下簡稱圖儀支出）共約2.75億元，平均每生圖儀支出為9,632元，相較於99學年度每生圖儀支出8,639元，成長11%。
</w:t>
          <w:br/>
          <w:t>以96至100學年度圖儀支出分析，近5學年機械儀器及設備支出維持在1.5億元上下，圖書支出則由8,347萬元增至9,595萬元，每學年約以2%的幅度成長，100學年度本校圖書支出金額為私校綜合大學一類組10所學校中最高。
</w:t>
          <w:br/>
          <w:t>私校綜合大學一類組10所學校之圖書及博物支出金額係來自各校財務資訊專區網站。
</w:t>
          <w:br/>
          <w:t>「機械儀器及設備」指單價超過10,000元的資本支出，低於10,000元者列入經常支出。
</w:t>
          <w:br/>
          <w:t>本校近五年支出金額請見財務資訊專區網頁（http://w3.tku.edu.tw/finance/infoanalysis.asp）財務處網頁（http://www.finance.tku.edu.tw/infomation/archive.php?class=101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25952" cy="2895600"/>
              <wp:effectExtent l="0" t="0" r="0" b="0"/>
              <wp:docPr id="1" name="IMG_6e95dc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98609670-719b-4af7-b385-60e4a1b3ae7a.jpg"/>
                      <pic:cNvPicPr/>
                    </pic:nvPicPr>
                    <pic:blipFill>
                      <a:blip xmlns:r="http://schemas.openxmlformats.org/officeDocument/2006/relationships" r:embed="R1cbb60c2284b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5952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bb60c2284b42bc" /></Relationships>
</file>