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508c5ebf0f44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TAMKANG GARDEN DORM TO BE COMPLETED IN JULY; QUALITY ASSURED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construction of Tamkang Garden, a male-student dormitory built under the cooperation between Tamkang University and Liting Construction Co., Ltd. will be completed in July. The building will accommodate all male freshmen with exception of those from Taipei area for the 2003 academic year.   
</w:t>
          <w:br/>
          <w:t>
</w:t>
          <w:br/>
          <w:t>A main-beam erection ceremony was held on Dec. 23, 2002. The constructor briefed the inner part planning and administration of the building to Vice President for Administrative Affairs Dr. Flora C. I. Chang, Dean of Student Affairs Ke Huan-chao, Dean of General Affairs Hung Chin-jen, Director of Comptroller Wang Mei-lan and other related personnel in the meeting held on Dec. 31, 2002.  
</w:t>
          <w:br/>
          <w:t>
</w:t>
          <w:br/>
          <w:t>Cheng Yun, President of Liting Construction Co., Ltd. said that she valued very much this cooperation project. Quality and safety will always be two major priorities. In addition to casting a huge capital investment on the hardware equipment, how the dorm looks is fairly important, too, Cheng said. In order to manifest the exclusive characteristics of Tamsui, a painting named “the Evening Glow of Tamsui River” by Chang Chuan-chuang, Cheng’s father-in-law, will be paved with potter’s clay on the southeastern wall. She hoped that the wall would become a new landmark of Tamsui. Dr. Flora C. I. Chang, Vice President for Administrative Affairs, believed that the building would become a new emulative object once the construction is completed. The male freshmen for the 2003 academic year are very lucky, Chang said.  
</w:t>
          <w:br/>
          <w:t>
</w:t>
          <w:br/>
          <w:t>As for the rent and management fee, the price was negotiated from NT$42,000 to NT$40,000 per academic year. The payment, excluding administrative fee, will be paid on semester basis. Liting Construction Co. will also offer 16 scholarships for students who are boarding at the building every academic year NT$10,000 per person. The two sides also agreed to send a delegation to learn how to manage the off-campus dormitories rented by Fengchia University.  
</w:t>
          <w:br/>
          <w:t>
</w:t>
          <w:br/>
          <w:t>The newly constructed building will cover 17 floors, including three-story basement with a total dimension of 12,716 square meters. The building will have 258 rooms with 990 berths. As to the public installations, all are very luxurious. The basement will be a parking lot while a large reception hall and reading room will be set up at the ground floor. Each floor will have its own entertainment room and gymnastic room. Laundry and flat room will be set on the top floor.   
</w:t>
          <w:br/>
          <w:t>
</w:t>
          <w:br/>
          <w:t>Every room with a space of eight pings (about 28 square meter) will be divided into two kinds—one for three persons and another for four persons. Every room will be equipped with a Hitachi air conditioner, a heat-insulted double-tier window and Internet access. Each room will also be equipped with separate electrical and water meters, bathroom and toilet. Entertainment room will have an audio-video machine, refrigerator, microwave and water filter.  
</w:t>
          <w:br/>
          <w:t>
</w:t>
          <w:br/>
          <w:t>Chang Ko-jen, Chief of Guidance Section, said that TKU President Chang Horng-jinh has instructed that the male freshmen for the 2003 academic year with the exception of those from Great Taipei area should live in the newly constructed dormitory. TKU also rented 108 berths from the dormitory of the Central Broadcasting Station to accommodate sophomore or above.</w:t>
          <w:br/>
        </w:r>
      </w:r>
    </w:p>
    <w:p>
      <w:pPr>
        <w:jc w:val="center"/>
      </w:pPr>
      <w:r>
        <w:r>
          <w:drawing>
            <wp:inline xmlns:wp14="http://schemas.microsoft.com/office/word/2010/wordprocessingDrawing" xmlns:wp="http://schemas.openxmlformats.org/drawingml/2006/wordprocessingDrawing" distT="0" distB="0" distL="0" distR="0" wp14:editId="50D07946">
              <wp:extent cx="1152144" cy="865632"/>
              <wp:effectExtent l="0" t="0" r="0" b="0"/>
              <wp:docPr id="1" name="IMG_ca7402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5/m\3c373f3d-6802-49a6-b079-46f6a5a186f8.jpg"/>
                      <pic:cNvPicPr/>
                    </pic:nvPicPr>
                    <pic:blipFill>
                      <a:blip xmlns:r="http://schemas.openxmlformats.org/officeDocument/2006/relationships" r:embed="Rcc770c2cb2134525" cstate="print">
                        <a:extLst>
                          <a:ext uri="{28A0092B-C50C-407E-A947-70E740481C1C}"/>
                        </a:extLst>
                      </a:blip>
                      <a:stretch>
                        <a:fillRect/>
                      </a:stretch>
                    </pic:blipFill>
                    <pic:spPr>
                      <a:xfrm>
                        <a:off x="0" y="0"/>
                        <a:ext cx="1152144" cy="8656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52144" cy="865632"/>
              <wp:effectExtent l="0" t="0" r="0" b="0"/>
              <wp:docPr id="1" name="IMG_7df9d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5/m\ffe2eaea-6e18-44e7-bf08-df9b6cc242b8.jpg"/>
                      <pic:cNvPicPr/>
                    </pic:nvPicPr>
                    <pic:blipFill>
                      <a:blip xmlns:r="http://schemas.openxmlformats.org/officeDocument/2006/relationships" r:embed="Rf55671c382d746e2" cstate="print">
                        <a:extLst>
                          <a:ext uri="{28A0092B-C50C-407E-A947-70E740481C1C}"/>
                        </a:extLst>
                      </a:blip>
                      <a:stretch>
                        <a:fillRect/>
                      </a:stretch>
                    </pic:blipFill>
                    <pic:spPr>
                      <a:xfrm>
                        <a:off x="0" y="0"/>
                        <a:ext cx="1152144" cy="865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770c2cb2134525" /><Relationship Type="http://schemas.openxmlformats.org/officeDocument/2006/relationships/image" Target="/media/image2.bin" Id="Rf55671c382d746e2" /></Relationships>
</file>