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424133eafa4d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910 期</w:t>
        </w:r>
      </w:r>
    </w:p>
    <w:p>
      <w:pPr>
        <w:jc w:val="center"/>
      </w:pPr>
      <w:r>
        <w:r>
          <w:rPr>
            <w:rFonts w:ascii="Segoe UI" w:hAnsi="Segoe UI" w:eastAsia="Segoe UI"/>
            <w:sz w:val="32"/>
            <w:color w:val="000000"/>
            <w:b/>
          </w:rPr>
          <w:t>研發處育成中心雙喜臨門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文媛淡水校園報導】本校建邦中小企業創新育成中心參與102年績優育成中心評選，榮獲經濟部中小企業處青年創業組第二名！在同組二十多家優秀育成中心的激烈競爭下，脫穎而出！育成中心將於19日前往台北國際會議中心接受頒獎。
</w:t>
          <w:br/>
          <w:t>　且於6日與公益財團法人沖繩縣產業振興公社台北事務所簽訂有關促進企業合作協議書，研發長康尚文代表簽約表示，將更全面地建構交流平臺，提升臺灣企業與沖繩企業的國際競爭力，促成雙方企業人力、商情雙向交流。</w:t>
          <w:br/>
        </w:r>
      </w:r>
    </w:p>
  </w:body>
</w:document>
</file>