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b6c18ae15f149c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910 期</w:t>
        </w:r>
      </w:r>
    </w:p>
    <w:p>
      <w:pPr>
        <w:jc w:val="center"/>
      </w:pPr>
      <w:r>
        <w:r>
          <w:rPr>
            <w:rFonts w:ascii="Segoe UI" w:hAnsi="Segoe UI" w:eastAsia="Segoe UI"/>
            <w:sz w:val="32"/>
            <w:color w:val="000000"/>
            <w:b/>
          </w:rPr>
          <w:t>The Office of Research and Development Gets a Double Dose of Good News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Champion Incubation Center participated in the 2013 Outstanding Incubation Achievement competition and took second place. They won the division of Industrial Economic Small and Medium Size Enterprise, defeating twenty other competing groups. On the 19th of this month they will receive their award at the Taipei International Convention Center. 
</w:t>
          <w:br/>
          <w:t>
</w:t>
          <w:br/>
          <w:t>On November 6th, The Industrial Development Bureau Ministry of Economic Affairs signed a contract related to the promotion of the Industrial Cooperation Agreement. Dean of the Office of Research and Development, Shung-wen Kang, signed the agreement and expressed, “By establishing a more effective platform for international exchange and development, The Industrial Development Bureau Ministry of Economic Affairs’ ability to compete on a global level will increase. Our cooperation is mutually beneficial in many aspects.”</w:t>
          <w:br/>
        </w:r>
      </w:r>
    </w:p>
  </w:body>
</w:document>
</file>