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16dac1bba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大一新生BMI異常略降 紙片人減少中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【記者鄧晏禎淡水校園報導】102學年度新生體檢報告出爐，據學務處衛生保健組提供的資料顯示，今年大一新生的健康狀況中，以BMI 36.38%、血壓28.38%以及視力27.22%3項總異常比率最高，但BMI與去年38.69%相比，降低2.31%，保健組組長暨校醫談遠安表示，因今年的血液常規檢測、血壓標準值有些調整，所以檢測上會有些差異，整體來說都在標準內，但BMI值比去年較低，顯示本校今年大一新生的體態比較好。談遠安呼籲，健康包括飲食均衡和良好的生活習慣，請大家要有規律生活、適度運動、均衡飲食，有健康的生活才有美好的人生。
</w:t>
          <w:br/>
          <w:t>　從近3學年度大一新生健康檢查體位異常率統計來看，本校的體位正常率除了101學年度是54.1%外，其他均維持在6成以上，102學年度則是63.6%。從數據上來看，顯示體位正常率逐年上升中；102學年度中仍有14%的學生體重過輕、肥胖的學生有10%、過重則有12.5%。整體而言，102學年度新生體位異常率比101學年度和100學年度的數據要來的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82112" cy="2127504"/>
              <wp:effectExtent l="0" t="0" r="0" b="0"/>
              <wp:docPr id="1" name="IMG_abeef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ccbd9de5-4b7c-4114-9176-b091081495aa.jpg"/>
                      <pic:cNvPicPr/>
                    </pic:nvPicPr>
                    <pic:blipFill>
                      <a:blip xmlns:r="http://schemas.openxmlformats.org/officeDocument/2006/relationships" r:embed="Raa38fecd6eb248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2112" cy="2127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38fecd6eb2480f" /></Relationships>
</file>