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6473ff16e441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Five Graduate Institutes Come Together in Cooperation for International Research Camp</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Jia-wen Lin, Tamkang Times】The College of International Studies held the “TKU International Affairs Research and Study Camp” on TKU campus from November 22nd to November 24th. This research and study program was organized to strengthen the Taiwanese undergraduate student’s understanding of the Institutes of European Studies, the Graduate Institute of American Studies, the Graduate Institute of Asian Studies, the Graduate Institute of China Studies, the Graduate Institute of International Affairs and Strategic Studies. These five academic institutes created a comprehensive curriculum that attracted 93 enthusiastic undergraduate students. 
</w:t>
          <w:br/>
          <w:t>
</w:t>
          <w:br/>
          <w:t>Every year these graduate institutes come together for a camp to collaborate their efforts. The theme for this year’s camp was the creation of a unique academic plan. The focus is to raise the reputation of Taiwanese academic social groups and organizations in order to improve enrollment while at the same time giving students a chance to see the classes and curriculum of the five graduate institutes up close. 
</w:t>
          <w:br/>
          <w:t>The presidents of the five institutes discussed the trend of internationalism and its effects on academics. Then the five institutes designed different professional curriculums for the students to observe. In the end, Wan-chin Tsai along with the five presidents of the graduate institutes handed out student admission booklets. One student particularly interested in the Graduate Institute of European Studies stated, “This was a great opportunity for me to really have a clearer understanding of the different institutes through hands-on interaction.”</w:t>
          <w:br/>
        </w:r>
      </w:r>
    </w:p>
  </w:body>
</w:document>
</file>