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edb86193b4b48f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909 期</w:t>
        </w:r>
      </w:r>
    </w:p>
    <w:p>
      <w:pPr>
        <w:jc w:val="center"/>
      </w:pPr>
      <w:r>
        <w:r>
          <w:rPr>
            <w:rFonts w:ascii="Segoe UI" w:hAnsi="Segoe UI" w:eastAsia="Segoe UI"/>
            <w:sz w:val="32"/>
            <w:color w:val="000000"/>
            <w:b/>
          </w:rPr>
          <w:t>2013 Tamkang University’s Life Experience Camp</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Qiao-ting Zhao, Tamkang Times】On November 9th the Admissions Section held the third annual “2013 Tamkang University’s Life Experience Camp,” which invited students from different high schools of the northern region. Over 140 students were in attendance at this camp that aspires to stimulate interest in Tamkang University’s educational program. The Dean of Academic Affairs, Huan-chao Keh, reported that the number of high school students interested in Tamkang University have risen significantly since last year. TKU remains ranked 5th out of 11 similar Junior Colleges including, Fu Jen University, Soochow University, Yuan Ze University, Chung Yuan Christian University, Shih Hsin University, Shih Chien University, Feng Chia University, Providence University, Tung Hai University, Ming Chuan University, and Chinese Culture University. 
</w:t>
          <w:br/>
          <w:t>
</w:t>
          <w:br/>
          <w:t>Huan-chao Keh analyzed the data received from newly enrolled students over the last two years to find that 65 percent of TKU’s students are from northern Taiwan and the rest are all from the southern region. He has recommended that every department actively participate in the “Advanced High School Program” which will reach out to students in all areas of Taiwan, increasing the diversity of Tamkang University. The top three departments responsible for the majority of student enrollment are the Department of Mass Communication, the Department of Chinese Language, and the Department of Insurance.</w:t>
          <w:br/>
        </w:r>
      </w:r>
    </w:p>
    <w:p>
      <w:pPr>
        <w:jc w:val="center"/>
      </w:pPr>
      <w:r>
        <w:r>
          <w:drawing>
            <wp:inline xmlns:wp14="http://schemas.microsoft.com/office/word/2010/wordprocessingDrawing" xmlns:wp="http://schemas.openxmlformats.org/drawingml/2006/wordprocessingDrawing" distT="0" distB="0" distL="0" distR="0" wp14:editId="50D07946">
              <wp:extent cx="4876800" cy="963168"/>
              <wp:effectExtent l="0" t="0" r="0" b="0"/>
              <wp:docPr id="1" name="IMG_8667b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9/m\b1ae6cef-6d50-41da-ad6d-298ce9b09a8c.jpg"/>
                      <pic:cNvPicPr/>
                    </pic:nvPicPr>
                    <pic:blipFill>
                      <a:blip xmlns:r="http://schemas.openxmlformats.org/officeDocument/2006/relationships" r:embed="R517952719bf54f59" cstate="print">
                        <a:extLst>
                          <a:ext uri="{28A0092B-C50C-407E-A947-70E740481C1C}"/>
                        </a:extLst>
                      </a:blip>
                      <a:stretch>
                        <a:fillRect/>
                      </a:stretch>
                    </pic:blipFill>
                    <pic:spPr>
                      <a:xfrm>
                        <a:off x="0" y="0"/>
                        <a:ext cx="4876800" cy="963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17952719bf54f59" /></Relationships>
</file>