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1058bb5c3445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Student Organization Registration Has Begun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Yi-feng Lu, Tamkang Times】The TA Student Organization and the class selection instructors will be holding a training event on January 15th, explaining the specifics of the content for each course curriculum. A Member of the Extracurricular Activities Guidance Section, Meng Shiang Wu, expressed that registration for student groups, activities and events is already open for the second semester of 2013.  Second and third-year students that desire entry into student groups, please choose it in the class registration system. If the desired student group is full, contact the Extracurricular Activities Guidance Section.Meng-Shiang Wu stated that there are three methods of registrations for student group activities and events to make it more convenient for student organizations. For details on registration please see the Student Group Studies and Course curriculum at (:http://lpcs.tku.edu.tw/LPCS/fc_news/fc_news_all.aspx）</w:t>
          <w:br/>
        </w:r>
      </w:r>
    </w:p>
  </w:body>
</w:document>
</file>