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ec5479e78740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908 期</w:t>
        </w:r>
      </w:r>
    </w:p>
    <w:p>
      <w:pPr>
        <w:jc w:val="center"/>
      </w:pPr>
      <w:r>
        <w:r>
          <w:rPr>
            <w:rFonts w:ascii="Segoe UI" w:hAnsi="Segoe UI" w:eastAsia="Segoe UI"/>
            <w:sz w:val="32"/>
            <w:color w:val="000000"/>
            <w:b/>
          </w:rPr>
          <w:t>The Chinese French Online Long-distance Exchange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Bo-xian Lu, Tamkang Times】The Department of Foreign Languages and Literature are working in cooperation with New Functional Enterprise Information Co. to create “Innovative Chinese Language and Cultural Education for International Trade.” The Director of New Functional Enterprise Information Co., Professor Ruey-shiang Shaw, along with colleagues from the online Chinese language program, Yes!Mandarin, met with representatives from France via online communication.
</w:t>
          <w:br/>
          <w:t>The purpose of this meeting was to discuss the promotion of overseas foreign language study and the development of an excellent online Chinese foreign language platform. The details involved teachers being able to help foreign students in Chinese language through live internet communications.</w:t>
          <w:br/>
        </w:r>
      </w:r>
    </w:p>
  </w:body>
</w:document>
</file>