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69baf52d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國科會計畫案申請率68%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【本報訊】依據研究發展處統計，本校教師103年度國科會計畫案，截至上月21日止，申請總件數506件，申請率68%。與去年相較申請率略降；其中，工學院的申請率達93%，且為申請件數最多。
</w:t>
          <w:br/>
          <w:t>研究推動組組長李玫欣表示，「今年申請教師人數增加，雖然總件數下降，但與去年相較，申請率大致平穩。」而為鼓勵教師多申請研究計畫，及協助專任助理教授提高計畫書品質，「研發處於每年11、12月陸續舉辦多場說明會，且提供申請國科會計畫案的相關協助；若教育部來函徵求特殊計畫案，研發處也會發文通知教師，歡迎多加利用。」
</w:t>
          <w:br/>
          <w:t>各學院在申請率方面，第一名是工學院93%，全創院87%位居第二，第三名則是理學院82%；其餘各院分別為：文學院42%、商管學院72%、外語學院42%、國際學院53%、教育學院67%及體育處24%。更有8系申請率超過百分百：化學系110%、土木系100%、化材系111%、電機系112%、機電系113%、管科系107%、師培中心100%、資創系111%。</w:t>
          <w:br/>
        </w:r>
      </w:r>
    </w:p>
  </w:body>
</w:document>
</file>